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89BE" w14:textId="77777777" w:rsidR="00D321B5" w:rsidRDefault="00D321B5">
      <w:pPr>
        <w:rPr>
          <w:b/>
          <w:bCs/>
          <w:u w:val="thick"/>
        </w:rPr>
      </w:pPr>
    </w:p>
    <w:p w14:paraId="51E1FC71" w14:textId="77777777" w:rsidR="00D321B5" w:rsidRDefault="00AB342C">
      <w:pPr>
        <w:jc w:val="center"/>
      </w:pPr>
      <w:r>
        <w:rPr>
          <w:noProof/>
        </w:rPr>
        <w:drawing>
          <wp:inline distT="0" distB="0" distL="0" distR="0" wp14:anchorId="76A82301" wp14:editId="2B53E523">
            <wp:extent cx="5762625" cy="82867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70" w:type="dxa"/>
        <w:tblInd w:w="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0"/>
      </w:tblGrid>
      <w:tr w:rsidR="00D321B5" w14:paraId="294999FD" w14:textId="77777777">
        <w:trPr>
          <w:trHeight w:val="1158"/>
        </w:trPr>
        <w:tc>
          <w:tcPr>
            <w:tcW w:w="9570" w:type="dxa"/>
          </w:tcPr>
          <w:p w14:paraId="659E5148" w14:textId="77777777" w:rsidR="00D321B5" w:rsidRDefault="00AB342C">
            <w:pPr>
              <w:keepNext/>
              <w:widowControl w:val="0"/>
              <w:spacing w:after="0" w:line="254" w:lineRule="auto"/>
              <w:jc w:val="center"/>
              <w:outlineLvl w:val="0"/>
              <w:rPr>
                <w:rFonts w:ascii="Times New Roman" w:eastAsia="Times New Roman" w:hAnsi="Times New Roman"/>
                <w:smallCaps/>
              </w:rPr>
            </w:pPr>
            <w:r>
              <w:rPr>
                <w:rFonts w:ascii="Times New Roman" w:eastAsia="Times New Roman" w:hAnsi="Times New Roman"/>
                <w:smallCaps/>
              </w:rPr>
              <w:t>Ministero dell’Istruzione e del merito</w:t>
            </w:r>
          </w:p>
          <w:p w14:paraId="05A12AB3" w14:textId="77777777" w:rsidR="00D321B5" w:rsidRDefault="00AB342C">
            <w:pPr>
              <w:keepNext/>
              <w:widowControl w:val="0"/>
              <w:spacing w:after="0" w:line="254" w:lineRule="auto"/>
              <w:jc w:val="center"/>
              <w:outlineLvl w:val="0"/>
              <w:rPr>
                <w:rFonts w:ascii="Times New Roman" w:eastAsia="Times New Roman" w:hAnsi="Times New Roman"/>
                <w:smallCaps/>
              </w:rPr>
            </w:pPr>
            <w:r>
              <w:rPr>
                <w:rFonts w:ascii="Times New Roman" w:eastAsia="Times New Roman" w:hAnsi="Times New Roman"/>
                <w:smallCaps/>
              </w:rPr>
              <w:t>ISTITUTO COMPRENSIVO STATALE</w:t>
            </w:r>
          </w:p>
          <w:p w14:paraId="12EFCBF4" w14:textId="77777777" w:rsidR="00D321B5" w:rsidRDefault="00AB342C">
            <w:pPr>
              <w:keepNext/>
              <w:widowControl w:val="0"/>
              <w:spacing w:after="0" w:line="254" w:lineRule="auto"/>
              <w:jc w:val="center"/>
              <w:outlineLvl w:val="0"/>
              <w:rPr>
                <w:rFonts w:ascii="Times New Roman" w:eastAsia="Times New Roman" w:hAnsi="Times New Roman"/>
                <w:smallCap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mallCaps/>
                <w:sz w:val="24"/>
                <w:szCs w:val="20"/>
              </w:rPr>
              <w:t>“</w:t>
            </w:r>
            <w:r>
              <w:rPr>
                <w:rFonts w:ascii="Times New Roman" w:eastAsia="Times New Roman" w:hAnsi="Times New Roman"/>
                <w:b/>
                <w:bCs/>
                <w:smallCaps/>
                <w:sz w:val="24"/>
                <w:szCs w:val="20"/>
              </w:rPr>
              <w:t>D. A. AZUNI</w:t>
            </w:r>
            <w:r>
              <w:rPr>
                <w:rFonts w:ascii="Times New Roman" w:eastAsia="Times New Roman" w:hAnsi="Times New Roman"/>
                <w:smallCaps/>
                <w:sz w:val="24"/>
                <w:szCs w:val="20"/>
              </w:rPr>
              <w:t>”</w:t>
            </w:r>
            <w:r>
              <w:rPr>
                <w:rFonts w:ascii="TimesNewRomanPSMT" w:eastAsia="Times New Roman" w:hAnsi="TimesNewRomanPSMT" w:cs="TimesNewRomanPSMT"/>
                <w:color w:val="000000"/>
                <w:sz w:val="24"/>
                <w:szCs w:val="20"/>
              </w:rPr>
              <w:t xml:space="preserve"> Buddusò (SS)</w:t>
            </w:r>
          </w:p>
          <w:p w14:paraId="14700897" w14:textId="77777777" w:rsidR="00D321B5" w:rsidRDefault="00AB342C">
            <w:pPr>
              <w:keepNext/>
              <w:widowControl w:val="0"/>
              <w:spacing w:after="0" w:line="254" w:lineRule="auto"/>
              <w:jc w:val="center"/>
              <w:outlineLvl w:val="0"/>
              <w:rPr>
                <w:rFonts w:ascii="Times New Roman" w:eastAsia="Times New Roman" w:hAnsi="Times New Roman"/>
                <w:smallCaps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4"/>
                <w:szCs w:val="20"/>
              </w:rPr>
              <w:t>Sedi associate di Alà dei Sardi e Pattada</w:t>
            </w:r>
          </w:p>
          <w:p w14:paraId="29063E22" w14:textId="77777777" w:rsidR="00D321B5" w:rsidRDefault="00AB342C">
            <w:pPr>
              <w:widowControl w:val="0"/>
              <w:spacing w:after="0" w:line="240" w:lineRule="auto"/>
              <w:jc w:val="center"/>
              <w:rPr>
                <w:smallCaps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Cod.Min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lang w:val="en-US"/>
              </w:rPr>
              <w:t>. SSIC80600X</w:t>
            </w:r>
            <w:r>
              <w:rPr>
                <w:smallCaps/>
                <w:lang w:val="en-US"/>
              </w:rPr>
              <w:t xml:space="preserve">                                         C.F. 81000450908</w:t>
            </w:r>
          </w:p>
          <w:p w14:paraId="6F8A5772" w14:textId="77777777" w:rsidR="00D321B5" w:rsidRDefault="00AB342C">
            <w:pPr>
              <w:widowControl w:val="0"/>
              <w:spacing w:after="0" w:line="240" w:lineRule="auto"/>
              <w:jc w:val="center"/>
              <w:rPr>
                <w:smallCaps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e-mail  </w:t>
            </w:r>
            <w:hyperlink r:id="rId6">
              <w:r>
                <w:rPr>
                  <w:rFonts w:ascii="TimesNewRomanPSMT" w:hAnsi="TimesNewRomanPSMT" w:cs="TimesNewRomanPSMT"/>
                  <w:color w:val="0000FF"/>
                  <w:u w:val="single"/>
                </w:rPr>
                <w:t>ssic80600x@istruzione.it</w:t>
              </w:r>
            </w:hyperlink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pec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hyperlink r:id="rId7">
              <w:r>
                <w:rPr>
                  <w:rStyle w:val="Collegamentoipertestuale"/>
                  <w:rFonts w:ascii="TimesNewRomanPSMT" w:hAnsi="TimesNewRomanPSMT" w:cs="TimesNewRomanPSMT"/>
                </w:rPr>
                <w:t>ssic80600x@pec.istruzione.it</w:t>
              </w:r>
            </w:hyperlink>
            <w:r>
              <w:rPr>
                <w:rFonts w:ascii="TimesNewRomanPSMT" w:hAnsi="TimesNewRomanPSMT" w:cs="TimesNewRomanPSMT"/>
                <w:color w:val="0000FF"/>
                <w:u w:val="single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</w:rPr>
              <w:t>tel. 079.714035</w:t>
            </w:r>
          </w:p>
        </w:tc>
      </w:tr>
    </w:tbl>
    <w:p w14:paraId="07A55635" w14:textId="77777777" w:rsidR="00D321B5" w:rsidRDefault="00D321B5">
      <w:pPr>
        <w:rPr>
          <w:b/>
          <w:bCs/>
          <w:u w:val="thick"/>
        </w:rPr>
      </w:pPr>
    </w:p>
    <w:p w14:paraId="6CE8D3D1" w14:textId="77777777" w:rsidR="00D321B5" w:rsidRDefault="00AB342C">
      <w:pPr>
        <w:jc w:val="center"/>
        <w:rPr>
          <w:b/>
        </w:rPr>
      </w:pPr>
      <w:r>
        <w:rPr>
          <w:b/>
        </w:rPr>
        <w:t>MODELLO ORGANIZZATIVO TEMPO PIENO</w:t>
      </w:r>
    </w:p>
    <w:p w14:paraId="3B12EB58" w14:textId="77777777" w:rsidR="00D321B5" w:rsidRDefault="00AB342C">
      <w:r>
        <w:t xml:space="preserve">In caso di esubero delle domande per le classi prime a TEMPO PIENO, sarà redatta una graduatoria in base ai criteri di seguito specificati. </w:t>
      </w:r>
    </w:p>
    <w:p w14:paraId="5FDB5088" w14:textId="77777777" w:rsidR="00D321B5" w:rsidRDefault="00AB342C">
      <w:r>
        <w:t xml:space="preserve">Sono da considerarsi al di fuori della graduatoria con precedenza assoluta le seguenti tipologie ricadenti in </w:t>
      </w:r>
      <w:r>
        <w:rPr>
          <w:b/>
          <w:bCs/>
        </w:rPr>
        <w:t>CONDIZIONI FAMILIARI</w:t>
      </w:r>
      <w:r>
        <w:t xml:space="preserve"> e </w:t>
      </w:r>
      <w:r>
        <w:rPr>
          <w:b/>
          <w:bCs/>
        </w:rPr>
        <w:t>SITUAZIONI DI DISAGIO</w:t>
      </w:r>
      <w:r>
        <w:t>:</w:t>
      </w:r>
    </w:p>
    <w:p w14:paraId="7BAD48C5" w14:textId="77777777" w:rsidR="00D321B5" w:rsidRDefault="00AB342C">
      <w:pPr>
        <w:numPr>
          <w:ilvl w:val="0"/>
          <w:numId w:val="3"/>
        </w:numPr>
        <w:rPr>
          <w:b/>
          <w:i/>
        </w:rPr>
      </w:pPr>
      <w:r>
        <w:rPr>
          <w:b/>
          <w:i/>
        </w:rPr>
        <w:t>Caso di disabilità certificata dalla dal Sistema Sanitario Nazionale che richieda il sostegno;</w:t>
      </w:r>
    </w:p>
    <w:p w14:paraId="41CDA5D4" w14:textId="77777777" w:rsidR="00D321B5" w:rsidRDefault="00AB342C">
      <w:pPr>
        <w:numPr>
          <w:ilvl w:val="0"/>
          <w:numId w:val="3"/>
        </w:numPr>
        <w:rPr>
          <w:b/>
          <w:i/>
        </w:rPr>
      </w:pPr>
      <w:r>
        <w:rPr>
          <w:b/>
          <w:i/>
        </w:rPr>
        <w:t>Caso di iscrizione contestuale per la stessa classe di due gemelli o fratelli: se uno dei due avrà diritto ad essere inserito, anche il secondo otterrà automaticamente l’accesso;</w:t>
      </w:r>
    </w:p>
    <w:tbl>
      <w:tblPr>
        <w:tblW w:w="10085" w:type="dxa"/>
        <w:tblInd w:w="125" w:type="dxa"/>
        <w:tblLayout w:type="fixed"/>
        <w:tblLook w:val="01E0" w:firstRow="1" w:lastRow="1" w:firstColumn="1" w:lastColumn="1" w:noHBand="0" w:noVBand="0"/>
      </w:tblPr>
      <w:tblGrid>
        <w:gridCol w:w="8813"/>
        <w:gridCol w:w="1272"/>
      </w:tblGrid>
      <w:tr w:rsidR="00D321B5" w14:paraId="71FC929E" w14:textId="77777777">
        <w:trPr>
          <w:trHeight w:val="881"/>
        </w:trPr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7E06" w14:textId="77777777" w:rsidR="00D321B5" w:rsidRDefault="00D321B5">
            <w:pPr>
              <w:widowControl w:val="0"/>
            </w:pPr>
          </w:p>
          <w:p w14:paraId="2F727503" w14:textId="77777777" w:rsidR="00D321B5" w:rsidRDefault="00AB342C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CONDIZIONI FAMILIARI</w:t>
            </w:r>
          </w:p>
          <w:p w14:paraId="54FFBCD8" w14:textId="77777777" w:rsidR="00D321B5" w:rsidRDefault="00D321B5">
            <w:pPr>
              <w:widowControl w:val="0"/>
            </w:pPr>
          </w:p>
        </w:tc>
      </w:tr>
      <w:tr w:rsidR="00D321B5" w14:paraId="0E893FBF" w14:textId="77777777">
        <w:trPr>
          <w:trHeight w:val="1082"/>
        </w:trPr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A3AD" w14:textId="77777777" w:rsidR="00D321B5" w:rsidRDefault="00AB342C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Precedenza al di fuori della graduatoria.</w:t>
            </w:r>
          </w:p>
          <w:p w14:paraId="4B40C318" w14:textId="77777777" w:rsidR="00D321B5" w:rsidRDefault="00AB342C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caso di iscrizione contestuale per la stessa classe di due gemelli o fratelli, se uno dei due avrà diritto ad essere inserito anche il secondo otterrà automaticamente l’accesso</w:t>
            </w:r>
          </w:p>
        </w:tc>
      </w:tr>
      <w:tr w:rsidR="00D321B5" w14:paraId="6D38A21A" w14:textId="77777777">
        <w:trPr>
          <w:trHeight w:val="275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4107" w14:textId="77777777" w:rsidR="00D321B5" w:rsidRDefault="00AB342C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Famiglia con almeno tre figli di età inferiore ai 16 anni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7DB0" w14:textId="77777777" w:rsidR="00D321B5" w:rsidRDefault="00AB34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15</w:t>
            </w:r>
          </w:p>
        </w:tc>
      </w:tr>
      <w:tr w:rsidR="00D321B5" w14:paraId="2C0E1BBC" w14:textId="77777777">
        <w:trPr>
          <w:trHeight w:val="827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9F21" w14:textId="77777777" w:rsidR="00D321B5" w:rsidRDefault="00AB342C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Nucleo familiare composto da due genitori, entrambi            lavoratori o nucleo monoparentale, composto da un solo</w:t>
            </w:r>
          </w:p>
          <w:p w14:paraId="5C788D2D" w14:textId="77777777" w:rsidR="00D321B5" w:rsidRDefault="00AB34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genitore lavoratore, con contratto di lavoro a 36 ore settimanali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EF89" w14:textId="77777777" w:rsidR="00D321B5" w:rsidRDefault="00AB34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14</w:t>
            </w:r>
          </w:p>
        </w:tc>
      </w:tr>
      <w:tr w:rsidR="00D321B5" w14:paraId="312A1F54" w14:textId="77777777">
        <w:trPr>
          <w:trHeight w:val="827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C148" w14:textId="77777777" w:rsidR="00D321B5" w:rsidRDefault="00AB34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b1) Nucleo familiare composto da due genitori, entrambi lavoratori o nucleo monoparentale, composto da un solo genitore lavoratore, di cui almeno uno con contratto di lavoro part-time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B3A9" w14:textId="77777777" w:rsidR="00D321B5" w:rsidRDefault="00AB34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11</w:t>
            </w:r>
          </w:p>
        </w:tc>
      </w:tr>
      <w:tr w:rsidR="00D321B5" w14:paraId="0A17B834" w14:textId="77777777">
        <w:trPr>
          <w:trHeight w:val="738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B78D" w14:textId="77777777" w:rsidR="00D321B5" w:rsidRDefault="00AB34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b2) Nucleo familiare composto da due genitori, di cui uno in stato di disoccupazione.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747E" w14:textId="77777777" w:rsidR="00D321B5" w:rsidRDefault="00AB34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8</w:t>
            </w:r>
          </w:p>
        </w:tc>
      </w:tr>
      <w:tr w:rsidR="00D321B5" w14:paraId="12F17704" w14:textId="77777777">
        <w:trPr>
          <w:trHeight w:val="738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FBB" w14:textId="77777777" w:rsidR="00D321B5" w:rsidRDefault="00AB34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b3) Nucleo familiare composto da due genitori o nucleo familiare monoparentale in stato di disoccupazione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75A8" w14:textId="77777777" w:rsidR="00D321B5" w:rsidRDefault="00AB34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</w:t>
            </w:r>
          </w:p>
        </w:tc>
      </w:tr>
    </w:tbl>
    <w:p w14:paraId="546F84C8" w14:textId="77777777" w:rsidR="00D321B5" w:rsidRDefault="00D321B5"/>
    <w:p w14:paraId="5545CC90" w14:textId="77777777" w:rsidR="00D321B5" w:rsidRDefault="00D321B5"/>
    <w:p w14:paraId="71C59D55" w14:textId="77777777" w:rsidR="00D321B5" w:rsidRDefault="00D321B5"/>
    <w:tbl>
      <w:tblPr>
        <w:tblW w:w="10085" w:type="dxa"/>
        <w:tblInd w:w="125" w:type="dxa"/>
        <w:tblLayout w:type="fixed"/>
        <w:tblLook w:val="01E0" w:firstRow="1" w:lastRow="1" w:firstColumn="1" w:lastColumn="1" w:noHBand="0" w:noVBand="0"/>
      </w:tblPr>
      <w:tblGrid>
        <w:gridCol w:w="5644"/>
        <w:gridCol w:w="4441"/>
      </w:tblGrid>
      <w:tr w:rsidR="00D321B5" w14:paraId="7AF3FBC7" w14:textId="77777777">
        <w:trPr>
          <w:trHeight w:val="275"/>
        </w:trPr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AABB" w14:textId="77777777" w:rsidR="00D321B5" w:rsidRDefault="00D321B5">
            <w:pPr>
              <w:widowControl w:val="0"/>
              <w:rPr>
                <w:b/>
                <w:i/>
              </w:rPr>
            </w:pPr>
          </w:p>
          <w:p w14:paraId="1D6FB4A8" w14:textId="77777777" w:rsidR="00D321B5" w:rsidRDefault="00AB342C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SITUAZIONI DI DISAGIO</w:t>
            </w:r>
          </w:p>
          <w:p w14:paraId="61725A02" w14:textId="77777777" w:rsidR="00D321B5" w:rsidRDefault="00D321B5">
            <w:pPr>
              <w:widowControl w:val="0"/>
              <w:rPr>
                <w:b/>
                <w:i/>
              </w:rPr>
            </w:pPr>
          </w:p>
        </w:tc>
      </w:tr>
      <w:tr w:rsidR="00D321B5" w14:paraId="17BFFDCF" w14:textId="77777777">
        <w:trPr>
          <w:trHeight w:val="275"/>
        </w:trPr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0790" w14:textId="77777777" w:rsidR="00D321B5" w:rsidRDefault="00AB342C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Precedenza al di fuori della graduatoria.</w:t>
            </w:r>
          </w:p>
          <w:p w14:paraId="44A20C55" w14:textId="77777777" w:rsidR="00D321B5" w:rsidRDefault="00AB342C">
            <w:pPr>
              <w:widowControl w:val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Alunno/a con disabilità certificata dal Sistema Sanitario Nazionale che richieda il sostegno.</w:t>
            </w:r>
          </w:p>
        </w:tc>
      </w:tr>
      <w:tr w:rsidR="00D321B5" w14:paraId="58531734" w14:textId="77777777">
        <w:trPr>
          <w:trHeight w:val="506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BB60" w14:textId="77777777" w:rsidR="00D321B5" w:rsidRDefault="00AB34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Alunno/a segnalato/a o già preso in carico dal settore Servizi Sociali Comunali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2F2A" w14:textId="77777777" w:rsidR="00D321B5" w:rsidRDefault="00AB34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15</w:t>
            </w:r>
          </w:p>
        </w:tc>
      </w:tr>
      <w:tr w:rsidR="00D321B5" w14:paraId="545E5313" w14:textId="77777777">
        <w:trPr>
          <w:trHeight w:val="781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0188" w14:textId="77777777" w:rsidR="00D321B5" w:rsidRDefault="00AB34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Alunni con un genitore o fratello/sorella affetto da disabilità o in condizione di </w:t>
            </w:r>
            <w:r>
              <w:rPr>
                <w:i/>
                <w:sz w:val="20"/>
                <w:szCs w:val="20"/>
              </w:rPr>
              <w:t xml:space="preserve">Invalidità al 100% (allegare relativa certificazione-Invalidità al 100% o L.104 art. 3, c.3), </w:t>
            </w:r>
            <w:r>
              <w:rPr>
                <w:sz w:val="20"/>
                <w:szCs w:val="20"/>
              </w:rPr>
              <w:t>appartenente allo stesso nucleo familiare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7780" w14:textId="77777777" w:rsidR="00D321B5" w:rsidRDefault="00AB34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10</w:t>
            </w:r>
          </w:p>
        </w:tc>
      </w:tr>
      <w:tr w:rsidR="00D321B5" w14:paraId="69EF4EE1" w14:textId="77777777">
        <w:trPr>
          <w:trHeight w:val="781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D71E" w14:textId="77777777" w:rsidR="00D321B5" w:rsidRDefault="00AB34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Presenza di un componente del nucleo familiare, diverso da genitore o fratello/sorella, affetto da disabilità o in condizione di </w:t>
            </w:r>
            <w:r>
              <w:rPr>
                <w:i/>
                <w:sz w:val="20"/>
                <w:szCs w:val="20"/>
              </w:rPr>
              <w:t>Invalidità al 100% (allegare relativa certificazione-Invalidità al 100% o L. 104 art. 3, c.3)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843A" w14:textId="77777777" w:rsidR="00D321B5" w:rsidRDefault="00AB34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</w:t>
            </w:r>
          </w:p>
        </w:tc>
      </w:tr>
    </w:tbl>
    <w:p w14:paraId="1CB1F537" w14:textId="77777777" w:rsidR="00D321B5" w:rsidRDefault="00D321B5"/>
    <w:tbl>
      <w:tblPr>
        <w:tblpPr w:leftFromText="141" w:rightFromText="141" w:vertAnchor="text" w:horzAnchor="margin" w:tblpY="4"/>
        <w:tblW w:w="10085" w:type="dxa"/>
        <w:tblLayout w:type="fixed"/>
        <w:tblLook w:val="01E0" w:firstRow="1" w:lastRow="1" w:firstColumn="1" w:lastColumn="1" w:noHBand="0" w:noVBand="0"/>
      </w:tblPr>
      <w:tblGrid>
        <w:gridCol w:w="5644"/>
        <w:gridCol w:w="4441"/>
      </w:tblGrid>
      <w:tr w:rsidR="00D321B5" w14:paraId="749AE78D" w14:textId="77777777">
        <w:trPr>
          <w:trHeight w:val="275"/>
        </w:trPr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12E6" w14:textId="77777777" w:rsidR="00D321B5" w:rsidRDefault="00D321B5">
            <w:pPr>
              <w:widowControl w:val="0"/>
              <w:rPr>
                <w:b/>
                <w:i/>
              </w:rPr>
            </w:pPr>
          </w:p>
          <w:p w14:paraId="46F6EC2D" w14:textId="77777777" w:rsidR="00D321B5" w:rsidRDefault="00AB342C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CONTINUITA’ EDUCATIVA NELL’ISTITUTO</w:t>
            </w:r>
          </w:p>
          <w:p w14:paraId="09CF6679" w14:textId="77777777" w:rsidR="00D321B5" w:rsidRDefault="00D321B5">
            <w:pPr>
              <w:widowControl w:val="0"/>
              <w:rPr>
                <w:b/>
                <w:i/>
              </w:rPr>
            </w:pPr>
          </w:p>
        </w:tc>
      </w:tr>
      <w:tr w:rsidR="00D321B5" w14:paraId="7CC77FDD" w14:textId="77777777">
        <w:trPr>
          <w:trHeight w:val="905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03E1" w14:textId="77777777" w:rsidR="00D321B5" w:rsidRDefault="00AB342C">
            <w:pPr>
              <w:widowControl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FRATELLI/SORELLE </w:t>
            </w:r>
            <w:r>
              <w:rPr>
                <w:sz w:val="20"/>
                <w:szCs w:val="20"/>
              </w:rPr>
              <w:t xml:space="preserve">che frequentano le altre classi dello stesso plesso di scuola primaria, con lo stesso tempo scuola, nell’anno scolastico di riferimento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D216" w14:textId="77777777" w:rsidR="00D321B5" w:rsidRDefault="00AB34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15</w:t>
            </w:r>
          </w:p>
        </w:tc>
      </w:tr>
      <w:tr w:rsidR="00D321B5" w14:paraId="24B9578F" w14:textId="77777777">
        <w:trPr>
          <w:trHeight w:val="797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3461" w14:textId="77777777" w:rsidR="00D321B5" w:rsidRDefault="00AB342C">
            <w:pPr>
              <w:widowControl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È aggiunto al punteggio 15 ulteriore punto 1 per figlio, escluso l’alunno per cui si richiede l’iscrizione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20B7" w14:textId="77777777" w:rsidR="00D321B5" w:rsidRDefault="00AB34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16</w:t>
            </w:r>
          </w:p>
          <w:p w14:paraId="7FCADE26" w14:textId="77777777" w:rsidR="00D321B5" w:rsidRDefault="00D321B5">
            <w:pPr>
              <w:widowControl w:val="0"/>
              <w:rPr>
                <w:sz w:val="20"/>
                <w:szCs w:val="20"/>
              </w:rPr>
            </w:pPr>
          </w:p>
        </w:tc>
      </w:tr>
      <w:tr w:rsidR="00D321B5" w14:paraId="56B00C50" w14:textId="77777777">
        <w:trPr>
          <w:trHeight w:val="412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D73F" w14:textId="77777777" w:rsidR="00D321B5" w:rsidRDefault="00AB342C">
            <w:pPr>
              <w:widowControl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Esempio: Ulteriore figlio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84F9" w14:textId="77777777" w:rsidR="00D321B5" w:rsidRDefault="00AB34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17</w:t>
            </w:r>
          </w:p>
        </w:tc>
      </w:tr>
    </w:tbl>
    <w:p w14:paraId="3AD53A52" w14:textId="77777777" w:rsidR="00D321B5" w:rsidRDefault="00D321B5"/>
    <w:p w14:paraId="212B2CCA" w14:textId="77777777" w:rsidR="00D321B5" w:rsidRDefault="00AB342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parità di condizioni si farà riferimento all’ISEE; le famiglie dovranno possederlo entro la fine di marzo.</w:t>
      </w:r>
    </w:p>
    <w:p w14:paraId="1062026C" w14:textId="77777777" w:rsidR="00D321B5" w:rsidRDefault="00AB342C">
      <w:pPr>
        <w:numPr>
          <w:ilvl w:val="0"/>
          <w:numId w:val="1"/>
        </w:numPr>
        <w:rPr>
          <w:sz w:val="20"/>
          <w:szCs w:val="20"/>
        </w:rPr>
      </w:pPr>
      <w:r>
        <w:rPr>
          <w:bCs/>
          <w:sz w:val="20"/>
          <w:szCs w:val="20"/>
        </w:rPr>
        <w:t>Eventuali casi non previsti dal presente quadro di riferimento saranno valutati dal Dirigente scolastico e il suo giudizio sarà insindacabile.</w:t>
      </w:r>
    </w:p>
    <w:p w14:paraId="1B03B630" w14:textId="77777777" w:rsidR="00D321B5" w:rsidRDefault="00AB342C">
      <w:pPr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Ulteriori iscrizioni presentate dopo la data fissata per il termine verranno poste in coda e ordinate secondo i criteri sovraesposti fino alla definizione delle graduatorie.</w:t>
      </w:r>
    </w:p>
    <w:p w14:paraId="787117D1" w14:textId="77777777" w:rsidR="00D321B5" w:rsidRDefault="00AB342C">
      <w:pPr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Sarà possibile accogliere le domande degli alunni aventi diritto (alunni </w:t>
      </w:r>
      <w:proofErr w:type="spellStart"/>
      <w:r>
        <w:rPr>
          <w:bCs/>
          <w:sz w:val="20"/>
          <w:szCs w:val="20"/>
        </w:rPr>
        <w:t>anticipatari</w:t>
      </w:r>
      <w:proofErr w:type="spellEnd"/>
      <w:r>
        <w:rPr>
          <w:bCs/>
          <w:sz w:val="20"/>
          <w:szCs w:val="20"/>
        </w:rPr>
        <w:t>) solo in subordine all'eventuale disponibilità di posti, dopo aver accolto le domande d'iscrizione degli alunni obbligati in base all'anno di nascita.</w:t>
      </w:r>
    </w:p>
    <w:p w14:paraId="25AB989A" w14:textId="77777777" w:rsidR="00D321B5" w:rsidRDefault="00AB342C">
      <w:pPr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Tutti i requisiti che danno titolo a punteggio devono essere posseduti entro e non oltre il termine delle iscrizioni.</w:t>
      </w:r>
    </w:p>
    <w:p w14:paraId="430A002C" w14:textId="77777777" w:rsidR="00D321B5" w:rsidRDefault="00AB342C">
      <w:pPr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Le graduatorie formate in occasione delle iscrizioni avranno validità per l’intero anno scolastico di riferimento. A partire dall’anno successivo eventuali disponibilità e richieste saranno rivalutate, sempre applicando i criteri suddetti ma aggiornando i requisiti posseduti (ad esempio potrà essere aggiunto il punteggio per eventuali fratelli frequentanti non presenti all’atto dell’iscrizione originaria). </w:t>
      </w:r>
    </w:p>
    <w:p w14:paraId="71B5629C" w14:textId="77777777" w:rsidR="00D321B5" w:rsidRPr="009F5D83" w:rsidRDefault="00AB342C" w:rsidP="009F5D83">
      <w:pPr>
        <w:pStyle w:val="Paragrafoelenco"/>
        <w:numPr>
          <w:ilvl w:val="0"/>
          <w:numId w:val="1"/>
        </w:numPr>
        <w:ind w:left="233"/>
        <w:rPr>
          <w:rFonts w:cstheme="minorHAnsi"/>
          <w:sz w:val="20"/>
          <w:szCs w:val="20"/>
        </w:rPr>
      </w:pPr>
      <w:r w:rsidRPr="009F5D83">
        <w:rPr>
          <w:rFonts w:cstheme="minorHAnsi"/>
          <w:sz w:val="20"/>
          <w:szCs w:val="20"/>
        </w:rPr>
        <w:t xml:space="preserve">Informativa: Si informa che i presenti dati sono utilizzati solo per la seguente finalità: individuazione alunni per il tempo pieno classe prima primaria a.s.2024-2025. </w:t>
      </w:r>
    </w:p>
    <w:p w14:paraId="5694F794" w14:textId="77777777" w:rsidR="00D321B5" w:rsidRDefault="00AB342C">
      <w:pPr>
        <w:pStyle w:val="Paragrafoelenco"/>
        <w:ind w:left="593"/>
      </w:pPr>
      <w:r>
        <w:rPr>
          <w:rFonts w:cstheme="minorHAnsi"/>
          <w:sz w:val="20"/>
          <w:szCs w:val="20"/>
        </w:rPr>
        <w:t>Buddusò, ________________________</w:t>
      </w:r>
    </w:p>
    <w:p w14:paraId="2BEABAD0" w14:textId="77777777" w:rsidR="00D321B5" w:rsidRDefault="00D321B5">
      <w:pPr>
        <w:pStyle w:val="Paragrafoelenco"/>
        <w:ind w:left="593"/>
        <w:rPr>
          <w:rFonts w:cstheme="minorHAnsi"/>
          <w:sz w:val="20"/>
          <w:szCs w:val="20"/>
        </w:rPr>
      </w:pPr>
    </w:p>
    <w:p w14:paraId="670D936E" w14:textId="77777777" w:rsidR="00D321B5" w:rsidRDefault="00D321B5">
      <w:pPr>
        <w:pStyle w:val="TableParagraph"/>
        <w:spacing w:before="35"/>
        <w:ind w:left="593" w:right="701"/>
        <w:rPr>
          <w:rFonts w:asciiTheme="minorHAnsi" w:hAnsiTheme="minorHAnsi" w:cstheme="minorHAnsi"/>
          <w:sz w:val="20"/>
          <w:szCs w:val="20"/>
        </w:rPr>
      </w:pPr>
    </w:p>
    <w:p w14:paraId="0EDDC2F3" w14:textId="77777777" w:rsidR="00D321B5" w:rsidRDefault="00AB342C">
      <w:pPr>
        <w:pStyle w:val="Paragrafoelenco"/>
        <w:ind w:left="59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 ___________________________</w:t>
      </w:r>
    </w:p>
    <w:p w14:paraId="6C8C8B8A" w14:textId="77777777" w:rsidR="0020487D" w:rsidRDefault="0020487D">
      <w:pPr>
        <w:pStyle w:val="Paragrafoelenco"/>
        <w:ind w:left="593"/>
        <w:rPr>
          <w:rFonts w:cstheme="minorHAnsi"/>
          <w:sz w:val="20"/>
          <w:szCs w:val="20"/>
        </w:rPr>
      </w:pPr>
    </w:p>
    <w:p w14:paraId="66D20DDD" w14:textId="77777777" w:rsidR="00A44465" w:rsidRDefault="00A44465">
      <w:pPr>
        <w:pStyle w:val="Paragrafoelenco"/>
        <w:ind w:left="59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 ___________________________</w:t>
      </w:r>
    </w:p>
    <w:p w14:paraId="236AC44F" w14:textId="77777777" w:rsidR="009F5D83" w:rsidRDefault="009F5D83">
      <w:pPr>
        <w:pStyle w:val="Paragrafoelenco"/>
        <w:ind w:left="593"/>
      </w:pPr>
    </w:p>
    <w:p w14:paraId="51F9C930" w14:textId="14A5B2F9" w:rsidR="00D321B5" w:rsidRDefault="00D321B5">
      <w:pPr>
        <w:pStyle w:val="Paragrafoelenco"/>
        <w:ind w:left="593"/>
      </w:pPr>
    </w:p>
    <w:sectPr w:rsidR="00D321B5">
      <w:pgSz w:w="11906" w:h="16838"/>
      <w:pgMar w:top="851" w:right="680" w:bottom="879" w:left="90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17AC"/>
    <w:multiLevelType w:val="multilevel"/>
    <w:tmpl w:val="8DD46798"/>
    <w:lvl w:ilvl="0">
      <w:numFmt w:val="bullet"/>
      <w:lvlText w:val="-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4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6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0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2771545E"/>
    <w:multiLevelType w:val="multilevel"/>
    <w:tmpl w:val="C2DCF5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2822AC"/>
    <w:multiLevelType w:val="multilevel"/>
    <w:tmpl w:val="99B8B97E"/>
    <w:lvl w:ilvl="0">
      <w:start w:val="1"/>
      <w:numFmt w:val="lowerLetter"/>
      <w:lvlText w:val="%1)"/>
      <w:lvlJc w:val="left"/>
      <w:pPr>
        <w:tabs>
          <w:tab w:val="num" w:pos="0"/>
        </w:tabs>
        <w:ind w:left="4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7" w:hanging="180"/>
      </w:pPr>
    </w:lvl>
  </w:abstractNum>
  <w:abstractNum w:abstractNumId="3" w15:restartNumberingAfterBreak="0">
    <w:nsid w:val="654F5F02"/>
    <w:multiLevelType w:val="multilevel"/>
    <w:tmpl w:val="52C47992"/>
    <w:lvl w:ilvl="0">
      <w:start w:val="1"/>
      <w:numFmt w:val="decimal"/>
      <w:lvlText w:val="%1-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B5"/>
    <w:rsid w:val="0020487D"/>
    <w:rsid w:val="00810D00"/>
    <w:rsid w:val="009F5D83"/>
    <w:rsid w:val="00A44465"/>
    <w:rsid w:val="00AB342C"/>
    <w:rsid w:val="00D3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57AD"/>
  <w15:docId w15:val="{BBB20821-2727-4AE9-AFDC-4FEF2EA9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50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4C5087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e"/>
    <w:uiPriority w:val="1"/>
    <w:qFormat/>
    <w:rsid w:val="002B1D4E"/>
    <w:pPr>
      <w:widowControl w:val="0"/>
      <w:spacing w:after="0" w:line="240" w:lineRule="auto"/>
    </w:pPr>
    <w:rPr>
      <w:rFonts w:ascii="Verdana" w:eastAsia="Verdana" w:hAnsi="Verdana" w:cs="Verdana"/>
    </w:rPr>
  </w:style>
  <w:style w:type="paragraph" w:styleId="Paragrafoelenco">
    <w:name w:val="List Paragraph"/>
    <w:basedOn w:val="Normale"/>
    <w:uiPriority w:val="34"/>
    <w:qFormat/>
    <w:rsid w:val="002B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ic806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ic80600x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Nieddu</dc:creator>
  <dc:description/>
  <cp:lastModifiedBy>Maria Antonietta Marongiu</cp:lastModifiedBy>
  <cp:revision>10</cp:revision>
  <dcterms:created xsi:type="dcterms:W3CDTF">2023-01-18T12:41:00Z</dcterms:created>
  <dcterms:modified xsi:type="dcterms:W3CDTF">2024-09-04T17:41:00Z</dcterms:modified>
  <dc:language>it-IT</dc:language>
</cp:coreProperties>
</file>